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171" w:rsidRDefault="00A06171" w:rsidP="00A06171">
      <w:pPr>
        <w:spacing w:line="480" w:lineRule="auto"/>
        <w:jc w:val="center"/>
      </w:pPr>
    </w:p>
    <w:p w:rsidR="00A06171" w:rsidRDefault="00A06171" w:rsidP="00A06171">
      <w:pPr>
        <w:spacing w:line="480" w:lineRule="auto"/>
        <w:jc w:val="center"/>
      </w:pPr>
    </w:p>
    <w:p w:rsidR="00A06171" w:rsidRDefault="00A06171" w:rsidP="00A06171">
      <w:pPr>
        <w:spacing w:line="480" w:lineRule="auto"/>
        <w:jc w:val="center"/>
      </w:pPr>
    </w:p>
    <w:p w:rsidR="00A06171" w:rsidRDefault="00A06171" w:rsidP="00A06171">
      <w:pPr>
        <w:spacing w:line="480" w:lineRule="auto"/>
        <w:jc w:val="center"/>
      </w:pPr>
    </w:p>
    <w:p w:rsidR="00A06171" w:rsidRDefault="00A06171" w:rsidP="00A06171">
      <w:pPr>
        <w:spacing w:line="480" w:lineRule="auto"/>
        <w:jc w:val="center"/>
      </w:pPr>
    </w:p>
    <w:p w:rsidR="00B06347" w:rsidRDefault="00B96A00" w:rsidP="00A06171">
      <w:pPr>
        <w:spacing w:line="480" w:lineRule="auto"/>
        <w:jc w:val="center"/>
      </w:pPr>
      <w:r>
        <w:t>Biosecurity and Bioterrorism</w:t>
      </w:r>
      <w:r w:rsidR="00B06347">
        <w:t>.</w:t>
      </w:r>
    </w:p>
    <w:p w:rsidR="00B06347" w:rsidRDefault="00B96A00" w:rsidP="00A06171">
      <w:pPr>
        <w:spacing w:line="480" w:lineRule="auto"/>
        <w:jc w:val="center"/>
      </w:pPr>
      <w:r>
        <w:t xml:space="preserve"> </w:t>
      </w:r>
      <w:r w:rsidR="00B06347">
        <w:t>Name.</w:t>
      </w:r>
    </w:p>
    <w:p w:rsidR="00B06347" w:rsidRDefault="00B06347" w:rsidP="00A06171">
      <w:pPr>
        <w:spacing w:line="480" w:lineRule="auto"/>
        <w:jc w:val="center"/>
      </w:pPr>
      <w:r>
        <w:t xml:space="preserve"> Institution.</w:t>
      </w:r>
    </w:p>
    <w:p w:rsidR="00B06347" w:rsidRDefault="00B06347" w:rsidP="00A06171">
      <w:pPr>
        <w:spacing w:line="480" w:lineRule="auto"/>
        <w:jc w:val="center"/>
      </w:pPr>
      <w:r>
        <w:t xml:space="preserve"> Date.</w:t>
      </w:r>
    </w:p>
    <w:p w:rsidR="00A06171" w:rsidRDefault="00A06171" w:rsidP="00A06171">
      <w:pPr>
        <w:spacing w:line="480" w:lineRule="auto"/>
        <w:jc w:val="center"/>
      </w:pPr>
    </w:p>
    <w:p w:rsidR="00A06171" w:rsidRDefault="00A06171" w:rsidP="00A06171">
      <w:pPr>
        <w:spacing w:line="480" w:lineRule="auto"/>
        <w:jc w:val="center"/>
      </w:pPr>
    </w:p>
    <w:p w:rsidR="00A06171" w:rsidRDefault="00A06171" w:rsidP="00A06171">
      <w:pPr>
        <w:spacing w:line="480" w:lineRule="auto"/>
        <w:jc w:val="center"/>
      </w:pPr>
    </w:p>
    <w:p w:rsidR="00A06171" w:rsidRDefault="00A06171" w:rsidP="00A06171">
      <w:pPr>
        <w:spacing w:line="480" w:lineRule="auto"/>
        <w:jc w:val="center"/>
      </w:pPr>
    </w:p>
    <w:p w:rsidR="00A06171" w:rsidRDefault="00A06171" w:rsidP="00A06171">
      <w:pPr>
        <w:spacing w:line="480" w:lineRule="auto"/>
        <w:jc w:val="center"/>
      </w:pPr>
    </w:p>
    <w:p w:rsidR="00A06171" w:rsidRDefault="00A06171" w:rsidP="00A06171">
      <w:pPr>
        <w:spacing w:line="480" w:lineRule="auto"/>
        <w:jc w:val="center"/>
      </w:pPr>
    </w:p>
    <w:p w:rsidR="00A06171" w:rsidRDefault="00A06171" w:rsidP="00A06171">
      <w:pPr>
        <w:spacing w:line="480" w:lineRule="auto"/>
        <w:jc w:val="center"/>
      </w:pPr>
    </w:p>
    <w:p w:rsidR="00A06171" w:rsidRDefault="00A06171" w:rsidP="00A06171">
      <w:pPr>
        <w:spacing w:line="480" w:lineRule="auto"/>
        <w:jc w:val="center"/>
      </w:pPr>
    </w:p>
    <w:p w:rsidR="00A06171" w:rsidRDefault="00A06171" w:rsidP="00A06171">
      <w:pPr>
        <w:spacing w:line="480" w:lineRule="auto"/>
        <w:jc w:val="center"/>
      </w:pPr>
    </w:p>
    <w:p w:rsidR="00B06347" w:rsidRDefault="00B06347" w:rsidP="00A06171">
      <w:pPr>
        <w:spacing w:line="480" w:lineRule="auto"/>
        <w:jc w:val="center"/>
      </w:pPr>
      <w:r>
        <w:lastRenderedPageBreak/>
        <w:t xml:space="preserve">BioSecurity and Bioterrorism  </w:t>
      </w:r>
    </w:p>
    <w:p w:rsidR="0001192E" w:rsidRPr="00B06347" w:rsidRDefault="0001192E" w:rsidP="00A06171">
      <w:pPr>
        <w:spacing w:line="480" w:lineRule="auto"/>
        <w:jc w:val="center"/>
        <w:rPr>
          <w:b/>
        </w:rPr>
      </w:pPr>
      <w:r w:rsidRPr="00B06347">
        <w:rPr>
          <w:b/>
        </w:rPr>
        <w:t>Question 1</w:t>
      </w:r>
    </w:p>
    <w:p w:rsidR="00ED5A3C" w:rsidRDefault="00ED5A3C" w:rsidP="00ED5A3C">
      <w:pPr>
        <w:spacing w:line="480" w:lineRule="auto"/>
        <w:ind w:firstLine="720"/>
      </w:pPr>
      <w:r>
        <w:t xml:space="preserve">I agree that microbial forensics was a useful investigative tool in the Amerithrax investigation based on the 2001 anthrax attacks. Similar to other departments of forensic investigation, microbial forensic investigation prime aim is identification and prosecution of biological attackers through a detailed analysis of pathogens (weapons) used in attacks. Thus, a microbial scientist has to study a microorganism to determine the origin of the biological weapon, the identity of the criminal as well as the path of the outbreak (Bush, 2010). In the Amerithrax investigation, genomics was incorporated as a fundamental tool of microbial forensics. Genomic was crucial in narrowing down the number of suspects who were attributed to the anthrax attack. In the commencement of the investigation, microbial scientists began by investigating whether the anthrax from all the mailings received were from a same source (Bush, 2010). </w:t>
      </w:r>
    </w:p>
    <w:p w:rsidR="00ED5A3C" w:rsidRDefault="00ED5A3C" w:rsidP="00ED5A3C">
      <w:pPr>
        <w:spacing w:line="480" w:lineRule="auto"/>
        <w:ind w:firstLine="720"/>
      </w:pPr>
      <w:r>
        <w:t xml:space="preserve">To determine the actual sources, the scientists grew the various spores separately in the lab. This enabled the scientists to discern the unusual spores. After growing the unusual spores separately, the researchers noted that the spores exhibited variations as they replicated. Moreover, samples picked from the same letter exhibited an analogous combination of variants. After the sources were determined, the microbial scientists started by sequencing the genomes of the spores that were characterized as unusual to determine the genetic traits that made the colonies to look as unique (Bush, 2010). The entire investigation concluded that the spores were from the same source hence helping to cut short the many sources that were linked to the origin of the attack to a single source. However, microbial forensics information was only used to generate the lead of the suspects. The police performed the actual identification since the </w:t>
      </w:r>
      <w:r>
        <w:lastRenderedPageBreak/>
        <w:t>prosecution of a criminal requires foolproof evidence. Usually, in order to convict a suspect, evidence provided in a court of law must portray a high standard of accuracy and backed up by validated methodologies. On the contrary, in Amerithrax investigation, microbial forensics used as a tool of criminal investigation was very new and lacked standards and guidelines that would be accepted by the court of law.</w:t>
      </w:r>
    </w:p>
    <w:p w:rsidR="00ED5A3C" w:rsidRDefault="00ED5A3C" w:rsidP="00ED5A3C">
      <w:pPr>
        <w:spacing w:line="480" w:lineRule="auto"/>
        <w:ind w:firstLine="720"/>
      </w:pPr>
      <w:r>
        <w:t xml:space="preserve">According to me, microbial forensics was adequate to assist the FBI to make a conclusive determination of guilt. According to Dr. Paul Keim, a genomicist in Nothern Arizona University argued that the information from the Amerithrax research acted like a genetic fingerprint. This implies that the microbial evidence generated from the research could have been used to match the potential information (Bush, 2010). Therefore, if the guidelines and standards used in the research were within constraints of a legal rule, then the microbial evidence was enough for the FBI to determine guilt. For instance, in the commencement of Amerithrax investigations, investigators were not in a position to discern whether the letters were from international terrorist groups, domestic terrorist groups, state sponsored acts, or isolated acts. At this moment, the researchers' most significant challenge was sequencing the spores' genomes and developing the profiles of the potential suspects. </w:t>
      </w:r>
    </w:p>
    <w:p w:rsidR="00ED5A3C" w:rsidRDefault="00ED5A3C" w:rsidP="00ED5A3C">
      <w:pPr>
        <w:spacing w:line="480" w:lineRule="auto"/>
        <w:ind w:firstLine="720"/>
      </w:pPr>
      <w:r>
        <w:t xml:space="preserve">Through microbial investigation, innocent suspects were released. For example, in 2002, Dr. Steven Hatfil, who was among the greatest suspects of the anthrax attack based on his qualification, was released. He was attributed as a suspect because, in the period between 1997- 1999, he worked as a researcher in USAMRIID, where he had access to strains of anthrax similar to the strains used in the anthrax attack. After the FBI conducted a thorough genetic analysis of the organisms used in the attack, they noted that despite the fact the Dr. Steven had access to Ames strain anthrax but had no access to the actual spore-batch that was used in the letters </w:t>
      </w:r>
      <w:r>
        <w:lastRenderedPageBreak/>
        <w:t>(Bush, 2010). This implies that with microbial forensics, FBI have the ability to determine guilt conclusively.</w:t>
      </w:r>
    </w:p>
    <w:p w:rsidR="00ED5A3C" w:rsidRDefault="00ED5A3C" w:rsidP="00ED5A3C">
      <w:pPr>
        <w:spacing w:line="480" w:lineRule="auto"/>
        <w:ind w:firstLine="720"/>
      </w:pPr>
      <w:r>
        <w:t xml:space="preserve">Microbial forensics can be very in useful in determining if an outbreak is intentional, natural, or accidental. Usually, genome sequencing provides understandable and reliable evidence of a particular strain (Bush, 2010). Presently unlike two decades ago, microbial scientists have sequenced reference genomes which help them to determine the nature of the outbreak by comparing the isolates with the sequenced reference genomes. However, it can be hard to corroborate intentional use of microorganisms with a natural outbreak, particularly if the organisms are endemic. In such a case, molecular epidemiological tools are advocated to determine the chain of infection. Therefore, microbial forensics plays a crucial role in corroborating the nature of the outbreak. </w:t>
      </w:r>
    </w:p>
    <w:p w:rsidR="00ED5A3C" w:rsidRPr="00ED5A3C" w:rsidRDefault="00ED5A3C" w:rsidP="00ED5A3C">
      <w:pPr>
        <w:spacing w:line="480" w:lineRule="auto"/>
        <w:jc w:val="center"/>
        <w:rPr>
          <w:b/>
        </w:rPr>
      </w:pPr>
      <w:r w:rsidRPr="00ED5A3C">
        <w:rPr>
          <w:b/>
        </w:rPr>
        <w:t>Question 2</w:t>
      </w:r>
    </w:p>
    <w:p w:rsidR="00ED5A3C" w:rsidRDefault="00ED5A3C" w:rsidP="00ED5A3C">
      <w:pPr>
        <w:spacing w:line="480" w:lineRule="auto"/>
        <w:ind w:firstLine="720"/>
      </w:pPr>
      <w:r>
        <w:t xml:space="preserve">According to the authors of Aum Shinrikyo, Insights into How Terrorists Develop Biological and Chemical Weapons, Aum Shinrikyo cult group invested in biological weapons after people failed to elect Asahara as their leader. Asahara garnered a total of 1783 votes out of the estimated half a million casted votes. The fact that there was no member of the Shrinito group who was elected caused an immense disaster for in the Aum group. According to the article, the Shrinito candidates had spent over $7 million in the campaigns resulting in short-term financial instability (Danzig, 2011). Following the electoral rejection, the Shrinito leaders cemented one of the most crucial tenents that salvation is for the chosen few. As a result, Asahara forecasted that calamities such as natural disasters and explosions would befall the people. </w:t>
      </w:r>
    </w:p>
    <w:p w:rsidR="00ED5A3C" w:rsidRDefault="00ED5A3C" w:rsidP="00ED5A3C">
      <w:pPr>
        <w:spacing w:line="480" w:lineRule="auto"/>
        <w:ind w:firstLine="720"/>
      </w:pPr>
      <w:r>
        <w:lastRenderedPageBreak/>
        <w:t xml:space="preserve">To fulfill this prophesy, Asahara told the Aum that they should use biological weapons to kill large masses. The choice of biological attack was preferred since it was perceived to be more natural death as compared to other forms of murder. For instance, during the murder of Sakamoto and his family, the murderers (Okazaki and others) used Potassium Chloride injection (chemical attack) which had led to a massive press antagonism since the death looked like murder and not natural death (Danzig, 2011). Through research, Aum had substantial knowledge that a Clostridium botulinum bacterium which produces a toxin botulinum was an effective biological weapon. This led to Endo, one of the Aum leaders, to harvest a substantial amount of C.botulinum in Inshikarigawa Basin (Danzig, 2011). According to the available evidence, Endo was working on at least five variants of C. botulinum. The different strains helped the Aum group propagate C.botulinum strains in large scale. In these biological attack methods, there was a significant success as well as a failure. The primary failure was that the strains collected by Endo were not efficacious, which was attributed on a tenet of the religious group which needed members to be self reliant which hindered them to buy the appropriate strains. As a result, no individual was dead in the biological attack. </w:t>
      </w:r>
    </w:p>
    <w:p w:rsidR="00ED5A3C" w:rsidRDefault="00ED5A3C" w:rsidP="00ED5A3C">
      <w:pPr>
        <w:spacing w:line="480" w:lineRule="auto"/>
        <w:ind w:firstLine="720"/>
      </w:pPr>
      <w:r>
        <w:t xml:space="preserve">The main factor of botulinum is that it did not cause any sign of disease. For instance, an autopsy conducted on an individual who had drowned in a fermenting tank did not reveal any signs of disease. This implied that if the group had worked on purifying the botulinum strains, then the results would be efficient. The second biological attack was the anthrax attack. The anthrax attack formula was analogous to the botulinum formula. Again, the factor that led to the failure of the anthrax attack was that ordering anthrax from America culture collection would lead to easy trace. This led to the Aum group exploring other options. For instance, Endo had attempted to steal anthrax strains in a laboratory, although it was unsuccessful. However, he later </w:t>
      </w:r>
      <w:r>
        <w:lastRenderedPageBreak/>
        <w:t>sourced people who gave him access to anthrax from Obihiro University. Another failure of Aum is that they used a benign strain which Endo had to convert it to a potent strain, which is a more lethal form. Generally, the critical success of the Aum group was the program secrecy, which was attributed to the fact that all attacks (biological and chemical) were performed by the group leaders (Danzig, 2011). However, the significant setbacks were the tenets of the religion as well as the privacy required. Tenets such as self-reliance hindered the Aum group to purchase potent strains that would be efficient in attacks. Second, privacy hindered the cult group from getting the required skills as they needed people who could keep the secret.</w:t>
      </w:r>
    </w:p>
    <w:p w:rsidR="00ED5A3C" w:rsidRDefault="00ED5A3C" w:rsidP="00ED5A3C">
      <w:pPr>
        <w:spacing w:line="480" w:lineRule="auto"/>
        <w:ind w:firstLine="720"/>
      </w:pPr>
      <w:r>
        <w:t xml:space="preserve">According to the article, a massive Community Outbreak of Salmonellosis Caused by Intentional Contamination of Restaurant Salad Bars, Salmonellosis attack was intentionally conducted by Bhagwan Shree Rajneesh followers after they were denied the construction of their headquarters at Wasco County (Thomas, 1997). Some of the reports which were deemed as anecdotal by the court claimed that a part of the ranch where the members of the Rajneesh religion needed to construct their church was a part of Rajneeshpuram, which according to the report, was meant for building Rajneesh utopia. According to the report, there was no history of Salmonellosis outbreak in Wasco County from 1981 when the Rajneesh religion had purchased a ranch to the first eight months of 1984 before elections which were held on November 6, 1984. An individual was defined as a patient if he/she had visited a restaurant in Dalles in the time interval of September 9 and October 10 of 1984, and had at least three of the named symptoms: headache, chills, fever, bloody stools, nausea vomiting or if the stool test Typhimurium (Thomas, 1997). Of the 38 restaurants in Dalles, ten restaurants were considered to be affected by the outbreak of salmonellosis. </w:t>
      </w:r>
    </w:p>
    <w:p w:rsidR="00A06171" w:rsidRDefault="00ED5A3C" w:rsidP="00ED5A3C">
      <w:pPr>
        <w:spacing w:line="480" w:lineRule="auto"/>
        <w:ind w:firstLine="720"/>
      </w:pPr>
      <w:r>
        <w:lastRenderedPageBreak/>
        <w:t>Seven hundred fifty-one patients were deemed to be ill: 441 females (59%) and 310 males (41%). According to the report from criminal investigations, managers from the affected restaurants reported cases of disgruntled employees and other unusual occurrences. After a thorough scrutiny of local investigations coupled by the investigation of the collapse of the Rajneeshee Commune, it was noted that the strain found in the outbreak was similar to S Typhimurium sample which was found in Rajneesh medical center. It was argued that the Rajneeshee bioterrorism attack, which is the largest in U.S history, was a tactic to win November 6, 1984 elections. As a move to swing elections, the followers of Rajneesh Commune had sprayed strains of salmonella on salad bars. One of the beneficial factors that aided the success of the Rajneesh was the large businesses that supported the cult group to finance its attacks (Thomas, 1997). However, the major setback to the religious group was lack of political influence which hindered it from building the Rajeesh Utopia community in Rajneeshpuram.</w:t>
      </w:r>
    </w:p>
    <w:p w:rsidR="00A06171" w:rsidRDefault="00A06171" w:rsidP="00B06347">
      <w:pPr>
        <w:spacing w:line="480" w:lineRule="auto"/>
        <w:jc w:val="center"/>
      </w:pPr>
    </w:p>
    <w:p w:rsidR="00A06171" w:rsidRDefault="00A06171" w:rsidP="00B06347">
      <w:pPr>
        <w:spacing w:line="480" w:lineRule="auto"/>
        <w:jc w:val="center"/>
      </w:pPr>
    </w:p>
    <w:p w:rsidR="00A06171" w:rsidRDefault="00A06171" w:rsidP="00B06347">
      <w:pPr>
        <w:spacing w:line="480" w:lineRule="auto"/>
        <w:jc w:val="center"/>
      </w:pPr>
    </w:p>
    <w:p w:rsidR="00A06171" w:rsidRDefault="00A06171" w:rsidP="00B06347">
      <w:pPr>
        <w:spacing w:line="480" w:lineRule="auto"/>
        <w:jc w:val="center"/>
      </w:pPr>
    </w:p>
    <w:p w:rsidR="00A06171" w:rsidRDefault="00A06171" w:rsidP="00B06347">
      <w:pPr>
        <w:spacing w:line="480" w:lineRule="auto"/>
        <w:jc w:val="center"/>
      </w:pPr>
    </w:p>
    <w:p w:rsidR="00A06171" w:rsidRDefault="00A06171" w:rsidP="00B06347">
      <w:pPr>
        <w:spacing w:line="480" w:lineRule="auto"/>
        <w:jc w:val="center"/>
      </w:pPr>
    </w:p>
    <w:p w:rsidR="00A06171" w:rsidRDefault="00A06171" w:rsidP="00B06347">
      <w:pPr>
        <w:spacing w:line="480" w:lineRule="auto"/>
        <w:jc w:val="center"/>
      </w:pPr>
    </w:p>
    <w:p w:rsidR="00ED5A3C" w:rsidRDefault="00ED5A3C" w:rsidP="00ED5A3C">
      <w:pPr>
        <w:spacing w:line="480" w:lineRule="auto"/>
      </w:pPr>
    </w:p>
    <w:p w:rsidR="00ED5A3C" w:rsidRDefault="00ED5A3C" w:rsidP="00B06347">
      <w:pPr>
        <w:spacing w:line="480" w:lineRule="auto"/>
        <w:jc w:val="center"/>
      </w:pPr>
    </w:p>
    <w:p w:rsidR="004F27CB" w:rsidRDefault="004F27CB" w:rsidP="00B06347">
      <w:pPr>
        <w:spacing w:line="480" w:lineRule="auto"/>
        <w:jc w:val="center"/>
      </w:pPr>
      <w:r>
        <w:lastRenderedPageBreak/>
        <w:t>References</w:t>
      </w:r>
    </w:p>
    <w:p w:rsidR="00B06347" w:rsidRDefault="003C0894" w:rsidP="00B06347">
      <w:pPr>
        <w:pStyle w:val="Bibliography"/>
        <w:spacing w:line="480" w:lineRule="auto"/>
        <w:ind w:left="720" w:hanging="720"/>
        <w:rPr>
          <w:noProof/>
        </w:rPr>
      </w:pPr>
      <w:r>
        <w:fldChar w:fldCharType="begin"/>
      </w:r>
      <w:r w:rsidR="00B06347">
        <w:instrText xml:space="preserve"> BIBLIOGRAPHY  \l 1033 </w:instrText>
      </w:r>
      <w:r>
        <w:fldChar w:fldCharType="separate"/>
      </w:r>
      <w:r w:rsidR="00B06347">
        <w:rPr>
          <w:noProof/>
        </w:rPr>
        <w:t xml:space="preserve">Bush, L. (2010). Amerinthrax Investigative Summary. </w:t>
      </w:r>
      <w:r w:rsidR="00B06347">
        <w:rPr>
          <w:i/>
          <w:iCs/>
          <w:noProof/>
        </w:rPr>
        <w:t>The United States Department of Justice, Released Pursuant to the Information Act</w:t>
      </w:r>
      <w:r w:rsidR="00B06347">
        <w:rPr>
          <w:noProof/>
        </w:rPr>
        <w:t xml:space="preserve"> , 1-95.</w:t>
      </w:r>
    </w:p>
    <w:p w:rsidR="00B06347" w:rsidRDefault="00B06347" w:rsidP="00B06347">
      <w:pPr>
        <w:pStyle w:val="Bibliography"/>
        <w:spacing w:line="480" w:lineRule="auto"/>
        <w:ind w:left="720" w:hanging="720"/>
        <w:rPr>
          <w:noProof/>
        </w:rPr>
      </w:pPr>
      <w:r>
        <w:rPr>
          <w:noProof/>
        </w:rPr>
        <w:t xml:space="preserve">Danzig, R. (2011). Aum Shinrikyo, Insights into How Terrorists Develop Biological and Chemical Weapons. </w:t>
      </w:r>
      <w:r>
        <w:rPr>
          <w:i/>
          <w:iCs/>
          <w:noProof/>
        </w:rPr>
        <w:t>Center For A New American Security</w:t>
      </w:r>
      <w:r>
        <w:rPr>
          <w:noProof/>
        </w:rPr>
        <w:t xml:space="preserve"> , 1-37.</w:t>
      </w:r>
    </w:p>
    <w:p w:rsidR="00B06347" w:rsidRDefault="00B06347" w:rsidP="00B06347">
      <w:pPr>
        <w:pStyle w:val="Bibliography"/>
        <w:spacing w:line="480" w:lineRule="auto"/>
        <w:ind w:left="720" w:hanging="720"/>
        <w:rPr>
          <w:noProof/>
        </w:rPr>
      </w:pPr>
      <w:r>
        <w:rPr>
          <w:noProof/>
        </w:rPr>
        <w:t xml:space="preserve">Thomas, J. (1997). A Large Community Outberak of Salmonellosis Caused by Intentionall Contamination of Restaurant Salad Bars. </w:t>
      </w:r>
      <w:r>
        <w:rPr>
          <w:i/>
          <w:iCs/>
          <w:noProof/>
        </w:rPr>
        <w:t>Americal Medical association</w:t>
      </w:r>
      <w:r>
        <w:rPr>
          <w:noProof/>
        </w:rPr>
        <w:t xml:space="preserve"> , 384-394.</w:t>
      </w:r>
    </w:p>
    <w:p w:rsidR="00B06347" w:rsidRPr="003C25F4" w:rsidRDefault="003C0894" w:rsidP="00B06347">
      <w:pPr>
        <w:spacing w:line="480" w:lineRule="auto"/>
        <w:ind w:left="720" w:hanging="720"/>
      </w:pPr>
      <w:r>
        <w:fldChar w:fldCharType="end"/>
      </w:r>
    </w:p>
    <w:sectPr w:rsidR="00B06347" w:rsidRPr="003C25F4" w:rsidSect="004F27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0BB" w:rsidRDefault="001D70BB" w:rsidP="004F27CB">
      <w:pPr>
        <w:spacing w:after="0" w:line="240" w:lineRule="auto"/>
      </w:pPr>
      <w:r>
        <w:separator/>
      </w:r>
    </w:p>
  </w:endnote>
  <w:endnote w:type="continuationSeparator" w:id="1">
    <w:p w:rsidR="001D70BB" w:rsidRDefault="001D70BB" w:rsidP="004F27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0BB" w:rsidRDefault="001D70BB" w:rsidP="004F27CB">
      <w:pPr>
        <w:spacing w:after="0" w:line="240" w:lineRule="auto"/>
      </w:pPr>
      <w:r>
        <w:separator/>
      </w:r>
    </w:p>
  </w:footnote>
  <w:footnote w:type="continuationSeparator" w:id="1">
    <w:p w:rsidR="001D70BB" w:rsidRDefault="001D70BB" w:rsidP="004F27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7CB" w:rsidRDefault="004F27CB">
    <w:pPr>
      <w:pStyle w:val="Header"/>
      <w:jc w:val="right"/>
    </w:pPr>
    <w:r>
      <w:t xml:space="preserve">BIOSECURITY AND BIOTERRORISM                                                                                       </w:t>
    </w:r>
    <w:sdt>
      <w:sdtPr>
        <w:id w:val="7050171"/>
        <w:docPartObj>
          <w:docPartGallery w:val="Page Numbers (Top of Page)"/>
          <w:docPartUnique/>
        </w:docPartObj>
      </w:sdtPr>
      <w:sdtContent>
        <w:fldSimple w:instr=" PAGE   \* MERGEFORMAT ">
          <w:r w:rsidR="00ED5A3C">
            <w:rPr>
              <w:noProof/>
            </w:rPr>
            <w:t>8</w:t>
          </w:r>
        </w:fldSimple>
      </w:sdtContent>
    </w:sdt>
  </w:p>
  <w:p w:rsidR="004F27CB" w:rsidRDefault="004F27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7CB" w:rsidRDefault="004F27CB">
    <w:pPr>
      <w:pStyle w:val="Header"/>
      <w:jc w:val="right"/>
    </w:pPr>
    <w:r>
      <w:t xml:space="preserve">Running head: BIOSECURITY AND BIOTERRORISM                                                              </w:t>
    </w:r>
    <w:sdt>
      <w:sdtPr>
        <w:id w:val="7050063"/>
        <w:docPartObj>
          <w:docPartGallery w:val="Page Numbers (Top of Page)"/>
          <w:docPartUnique/>
        </w:docPartObj>
      </w:sdtPr>
      <w:sdtContent>
        <w:fldSimple w:instr=" PAGE   \* MERGEFORMAT ">
          <w:r w:rsidR="00ED5A3C">
            <w:rPr>
              <w:noProof/>
            </w:rPr>
            <w:t>1</w:t>
          </w:r>
        </w:fldSimple>
      </w:sdtContent>
    </w:sdt>
  </w:p>
  <w:p w:rsidR="004F27CB" w:rsidRDefault="004F27C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96A00"/>
    <w:rsid w:val="00001F52"/>
    <w:rsid w:val="0001192E"/>
    <w:rsid w:val="00025515"/>
    <w:rsid w:val="000420D6"/>
    <w:rsid w:val="00126C6E"/>
    <w:rsid w:val="001D70BB"/>
    <w:rsid w:val="001F3487"/>
    <w:rsid w:val="00233C9E"/>
    <w:rsid w:val="00262FA9"/>
    <w:rsid w:val="00305100"/>
    <w:rsid w:val="00322CB0"/>
    <w:rsid w:val="00384F70"/>
    <w:rsid w:val="003C0894"/>
    <w:rsid w:val="003C25F4"/>
    <w:rsid w:val="003D3D9A"/>
    <w:rsid w:val="004857AD"/>
    <w:rsid w:val="00493CFD"/>
    <w:rsid w:val="004F27CB"/>
    <w:rsid w:val="006047DC"/>
    <w:rsid w:val="00642BA5"/>
    <w:rsid w:val="0064521B"/>
    <w:rsid w:val="006D7590"/>
    <w:rsid w:val="006E53BB"/>
    <w:rsid w:val="00782F83"/>
    <w:rsid w:val="007A590D"/>
    <w:rsid w:val="007B6866"/>
    <w:rsid w:val="007F2FE8"/>
    <w:rsid w:val="0080024E"/>
    <w:rsid w:val="0081467D"/>
    <w:rsid w:val="008211B2"/>
    <w:rsid w:val="008E740C"/>
    <w:rsid w:val="008F1A90"/>
    <w:rsid w:val="008F5620"/>
    <w:rsid w:val="009A676E"/>
    <w:rsid w:val="009E26F5"/>
    <w:rsid w:val="00A06171"/>
    <w:rsid w:val="00A91539"/>
    <w:rsid w:val="00B00ADD"/>
    <w:rsid w:val="00B06347"/>
    <w:rsid w:val="00B133CE"/>
    <w:rsid w:val="00B5586C"/>
    <w:rsid w:val="00B952E4"/>
    <w:rsid w:val="00B96A00"/>
    <w:rsid w:val="00BA7368"/>
    <w:rsid w:val="00BE4541"/>
    <w:rsid w:val="00BE4FDD"/>
    <w:rsid w:val="00C5408A"/>
    <w:rsid w:val="00C71466"/>
    <w:rsid w:val="00CC1594"/>
    <w:rsid w:val="00CC2BE6"/>
    <w:rsid w:val="00CC30B0"/>
    <w:rsid w:val="00D974A1"/>
    <w:rsid w:val="00E02B5D"/>
    <w:rsid w:val="00E2609C"/>
    <w:rsid w:val="00E606B9"/>
    <w:rsid w:val="00ED5A3C"/>
    <w:rsid w:val="00EF23A7"/>
    <w:rsid w:val="00F5296D"/>
    <w:rsid w:val="00FC70CD"/>
    <w:rsid w:val="00FF5A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7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7CB"/>
  </w:style>
  <w:style w:type="paragraph" w:styleId="Footer">
    <w:name w:val="footer"/>
    <w:basedOn w:val="Normal"/>
    <w:link w:val="FooterChar"/>
    <w:uiPriority w:val="99"/>
    <w:semiHidden/>
    <w:unhideWhenUsed/>
    <w:rsid w:val="004F27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27CB"/>
  </w:style>
  <w:style w:type="paragraph" w:styleId="Bibliography">
    <w:name w:val="Bibliography"/>
    <w:basedOn w:val="Normal"/>
    <w:next w:val="Normal"/>
    <w:uiPriority w:val="37"/>
    <w:unhideWhenUsed/>
    <w:rsid w:val="00B06347"/>
  </w:style>
  <w:style w:type="paragraph" w:styleId="BalloonText">
    <w:name w:val="Balloon Text"/>
    <w:basedOn w:val="Normal"/>
    <w:link w:val="BalloonTextChar"/>
    <w:uiPriority w:val="99"/>
    <w:semiHidden/>
    <w:unhideWhenUsed/>
    <w:rsid w:val="00A061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1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Dan11</b:Tag>
    <b:SourceType>JournalArticle</b:SourceType>
    <b:Guid>{B180E153-4CB4-450C-961F-FE88461FD526}</b:Guid>
    <b:LCID>0</b:LCID>
    <b:Author>
      <b:Author>
        <b:NameList>
          <b:Person>
            <b:Last>Danzig</b:Last>
            <b:First>R.</b:First>
          </b:Person>
        </b:NameList>
      </b:Author>
    </b:Author>
    <b:Title>Aum Shinrikyo, Insights into How Terrorists Develop Biological and Chemical Weapons</b:Title>
    <b:JournalName>Center For A New American Security</b:JournalName>
    <b:Year>2011</b:Year>
    <b:Pages>1-37</b:Pages>
    <b:RefOrder>2</b:RefOrder>
  </b:Source>
  <b:Source>
    <b:Tag>Tho97</b:Tag>
    <b:SourceType>JournalArticle</b:SourceType>
    <b:Guid>{EEC4845C-F937-4432-A07A-1D5FB4C0DEAB}</b:Guid>
    <b:LCID>0</b:LCID>
    <b:Author>
      <b:Author>
        <b:NameList>
          <b:Person>
            <b:Last>Thomas</b:Last>
            <b:First>J.</b:First>
          </b:Person>
        </b:NameList>
      </b:Author>
    </b:Author>
    <b:Title>A Large Community Outberak of Salmonellosis Caused by Intentionall Contamination of Restaurant Salad Bars</b:Title>
    <b:JournalName>Americal Medical association</b:JournalName>
    <b:Year>1997</b:Year>
    <b:Pages>384-394</b:Pages>
    <b:RefOrder>3</b:RefOrder>
  </b:Source>
  <b:Source>
    <b:Tag>Bus10</b:Tag>
    <b:SourceType>JournalArticle</b:SourceType>
    <b:Guid>{25BDDF08-619B-47B7-A0A0-330FB25AA787}</b:Guid>
    <b:LCID>0</b:LCID>
    <b:Author>
      <b:Author>
        <b:NameList>
          <b:Person>
            <b:Last>Bush</b:Last>
            <b:First>L.</b:First>
          </b:Person>
        </b:NameList>
      </b:Author>
    </b:Author>
    <b:Title>Amerinthrax Investigative Summary</b:Title>
    <b:JournalName>The United States Department of Justice, Released Pursuant to the Information Act</b:JournalName>
    <b:Year>2010</b:Year>
    <b:Pages>1-95</b:Pages>
    <b:RefOrder>1</b:RefOrder>
  </b:Source>
</b:Sources>
</file>

<file path=customXml/itemProps1.xml><?xml version="1.0" encoding="utf-8"?>
<ds:datastoreItem xmlns:ds="http://schemas.openxmlformats.org/officeDocument/2006/customXml" ds:itemID="{71577326-8D79-45A1-99CB-FC92A9DD3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1707</Words>
  <Characters>9735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2019-05-28T18:04:00Z</dcterms:created>
  <dcterms:modified xsi:type="dcterms:W3CDTF">2019-05-28T18:04:00Z</dcterms:modified>
</cp:coreProperties>
</file>